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7" w:lineRule="auto"/>
        <w:jc w:val="center"/>
        <w:rPr>
          <w:rFonts w:hint="eastAsia" w:ascii="黑体" w:hAnsi="黑体" w:eastAsia="黑体" w:cs="黑体"/>
          <w:b w:val="0"/>
          <w:bCs w:val="0"/>
          <w:sz w:val="21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6"/>
          <w:sz w:val="45"/>
          <w:szCs w:val="45"/>
          <w:lang w:val="en-US" w:eastAsia="zh-CN"/>
        </w:rPr>
        <w:t>花垣县公共租赁住房申请流程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bidi w:val="0"/>
        <w:snapToGrid/>
        <w:spacing w:line="600" w:lineRule="exact"/>
        <w:ind w:firstLine="667" w:firstLineChars="200"/>
        <w:textAlignment w:val="auto"/>
        <w:rPr>
          <w:rFonts w:hint="eastAsia" w:ascii="仿宋" w:hAnsi="仿宋" w:eastAsia="仿宋" w:cs="仿宋"/>
          <w:b/>
          <w:bCs/>
          <w:spacing w:val="6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overflowPunct/>
        <w:bidi w:val="0"/>
        <w:snapToGrid/>
        <w:spacing w:line="600" w:lineRule="exact"/>
        <w:ind w:firstLine="664" w:firstLineChars="200"/>
        <w:textAlignment w:val="auto"/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  <w:lang w:val="en-US" w:eastAsia="zh-CN"/>
        </w:rPr>
        <w:t>一、申请对象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bidi w:val="0"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县城区低保、低收入、中等偏下收入住房困难家庭，新就业无房职工和在城镇稳定就业的外来务工人员等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。</w:t>
      </w:r>
      <w:r>
        <w:rPr>
          <w:rFonts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bidi w:val="0"/>
        <w:snapToGrid/>
        <w:spacing w:line="600" w:lineRule="exact"/>
        <w:ind w:firstLine="664" w:firstLineChars="200"/>
        <w:textAlignment w:val="auto"/>
        <w:rPr>
          <w:rFonts w:hint="default" w:ascii="黑体" w:hAnsi="黑体" w:eastAsia="黑体" w:cs="黑体"/>
          <w:b w:val="0"/>
          <w:bCs w:val="0"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  <w:lang w:val="en-US" w:eastAsia="zh-CN"/>
        </w:rPr>
        <w:t>二、具体事项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bidi w:val="0"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（一）申请人年满18周岁、具有完全民事行为能力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bidi w:val="0"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（二）在城镇（县城区）无自有住房或申请家庭人均住房面积低于13平方米。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bidi w:val="0"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（三）未享受过房改购房、集资建房、经济适用住房和住房补贴等政策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bidi w:val="0"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四</w:t>
      </w:r>
      <w:r>
        <w:rPr>
          <w:rFonts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）有下列情形之一的，不得申请公租房或住房租赁补贴：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bidi w:val="0"/>
        <w:snapToGrid/>
        <w:spacing w:line="600" w:lineRule="exact"/>
        <w:textAlignment w:val="auto"/>
      </w:pPr>
      <w:r>
        <w:rPr>
          <w:rFonts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  1</w:t>
      </w:r>
      <w:r>
        <w:rPr>
          <w:rFonts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、申请人及家庭成员在花垣县城区范围内拥有自有住房、非住宅房产的（包括商铺、车位等非住宅资产）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bidi w:val="0"/>
        <w:snapToGrid/>
        <w:spacing w:line="600" w:lineRule="exact"/>
        <w:textAlignment w:val="auto"/>
      </w:pPr>
      <w:r>
        <w:rPr>
          <w:rFonts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  2</w:t>
      </w:r>
      <w:r>
        <w:rPr>
          <w:rFonts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、申请人及家庭成员在申请之日前</w:t>
      </w:r>
      <w:r>
        <w:rPr>
          <w:rFonts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年出售、赠与、自行委托拍卖房产的（遭受重大疾病或灾难除外）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bidi w:val="0"/>
        <w:snapToGrid/>
        <w:spacing w:line="600" w:lineRule="exact"/>
        <w:textAlignment w:val="auto"/>
      </w:pPr>
      <w:r>
        <w:rPr>
          <w:rFonts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  3</w:t>
      </w:r>
      <w:r>
        <w:rPr>
          <w:rFonts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、申请人及家庭成员为企业法人或个体户的，其企业或个体营业执照注册资本金超过</w:t>
      </w:r>
      <w:r>
        <w:rPr>
          <w:rFonts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万元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bidi w:val="0"/>
        <w:snapToGrid/>
        <w:spacing w:line="600" w:lineRule="exact"/>
        <w:textAlignment w:val="auto"/>
      </w:pPr>
      <w:r>
        <w:rPr>
          <w:rFonts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  4</w:t>
      </w:r>
      <w:r>
        <w:rPr>
          <w:rFonts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、申请人及家庭成员有车辆登记的，价值在</w:t>
      </w:r>
      <w:r>
        <w:rPr>
          <w:rFonts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10</w:t>
      </w:r>
      <w:r>
        <w:rPr>
          <w:rFonts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万元以下且仅用于生产工具、残疾人的代步车除外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bidi w:val="0"/>
        <w:snapToGrid/>
        <w:spacing w:line="600" w:lineRule="exact"/>
        <w:textAlignment w:val="auto"/>
      </w:pPr>
      <w:r>
        <w:rPr>
          <w:rFonts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  5</w:t>
      </w:r>
      <w:r>
        <w:rPr>
          <w:rFonts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、申请人及家庭成员中有行政事业单位财政供养人员，新就业职工和困难职工除外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bidi w:val="0"/>
        <w:snapToGrid/>
        <w:spacing w:line="600" w:lineRule="exact"/>
        <w:ind w:firstLine="664" w:firstLineChars="200"/>
        <w:textAlignment w:val="auto"/>
        <w:rPr>
          <w:rFonts w:hint="default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  <w:lang w:val="en-US" w:eastAsia="zh-CN"/>
        </w:rPr>
        <w:t>三、申请地点及提供资料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bidi w:val="0"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申请人本人带身份证到城镇（县城区）居住所在地社区居委会领取花垣县公租房申请审批表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，</w:t>
      </w:r>
      <w:r>
        <w:rPr>
          <w:rFonts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按要求提供以下资料：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bidi w:val="0"/>
        <w:snapToGrid/>
        <w:spacing w:line="600" w:lineRule="exact"/>
        <w:textAlignment w:val="auto"/>
        <w:rPr>
          <w:rFonts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  1</w:t>
      </w:r>
      <w:r>
        <w:rPr>
          <w:rFonts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、申请人及家庭成员包括父母，配偶，子女身份证和户口簿复印件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bidi w:val="0"/>
        <w:snapToGrid/>
        <w:spacing w:line="600" w:lineRule="exact"/>
        <w:ind w:firstLine="640" w:firstLineChars="200"/>
        <w:textAlignment w:val="auto"/>
      </w:pPr>
      <w:r>
        <w:rPr>
          <w:rFonts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、婚姻现状证明（结婚证、离婚证、未婚证明、离婚协议书或判决书、民事调解书复印件）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bidi w:val="0"/>
        <w:snapToGrid/>
        <w:spacing w:line="600" w:lineRule="exact"/>
        <w:textAlignment w:val="auto"/>
      </w:pPr>
      <w:r>
        <w:rPr>
          <w:rFonts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  3</w:t>
      </w:r>
      <w:r>
        <w:rPr>
          <w:rFonts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、有低保、残疾、优抚或伤残病退军人证明等证明复印件（查验有效证件原件再复印）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bidi w:val="0"/>
        <w:snapToGrid/>
        <w:spacing w:line="600" w:lineRule="exact"/>
        <w:textAlignment w:val="auto"/>
        <w:rPr>
          <w:rFonts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4、</w:t>
      </w:r>
      <w:r>
        <w:rPr>
          <w:rFonts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新就业无房职工申请的，需提供入职文件，毕业证，社保缴纳证明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bidi w:val="0"/>
        <w:snapToGrid/>
        <w:spacing w:line="600" w:lineRule="exact"/>
        <w:ind w:firstLine="640" w:firstLineChars="200"/>
        <w:textAlignment w:val="auto"/>
      </w:pP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5、</w:t>
      </w:r>
      <w:r>
        <w:rPr>
          <w:rFonts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在城镇（县城区）稳定就业的外来务工人员申请的，需提供与用人单位二年以上正式劳动（聘用）合同，有效工资证明（申请之日前连续</w:t>
      </w:r>
      <w:r>
        <w:rPr>
          <w:rFonts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个月以上银行、微信账单、支付宝流水）或社保缴纳证明。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yZGUxZTg5ODJhNDViZjAyYmE1OGRlMmZjYzdlZGIifQ=="/>
  </w:docVars>
  <w:rsids>
    <w:rsidRoot w:val="33C313DA"/>
    <w:rsid w:val="0FB83451"/>
    <w:rsid w:val="12281DE7"/>
    <w:rsid w:val="20632D39"/>
    <w:rsid w:val="28F925C5"/>
    <w:rsid w:val="2A8E0C03"/>
    <w:rsid w:val="2CAA6D46"/>
    <w:rsid w:val="33C313DA"/>
    <w:rsid w:val="410D0EC7"/>
    <w:rsid w:val="54B13271"/>
    <w:rsid w:val="6954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widowControl w:val="0"/>
      <w:suppressAutoHyphens w:val="0"/>
      <w:kinsoku/>
      <w:overflowPunct/>
      <w:bidi w:val="0"/>
      <w:spacing w:beforeLines="0" w:beforeAutospacing="0" w:afterLines="0" w:afterAutospacing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2023-11-01T01:26:00Z</dcterms:created>
  <dc:creator>琥珀</dc:creator>
  <cp:lastModifiedBy>ˉＪUｍp＇</cp:lastModifiedBy>
  <dcterms:modified xsi:type="dcterms:W3CDTF">2023-12-08T08:35:13Z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DB20B9E099104133A7196107C573930E_13</vt:lpwstr>
  </property>
</Properties>
</file>